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5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57FA7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“活力广州 精彩一夏”粤港澳大湾区</w:t>
      </w:r>
    </w:p>
    <w:p w14:paraId="5549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（广州）青少年交流周活动</w:t>
      </w:r>
    </w:p>
    <w:p w14:paraId="65F1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采购内容清单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824"/>
        <w:gridCol w:w="1605"/>
        <w:gridCol w:w="990"/>
        <w:gridCol w:w="5661"/>
      </w:tblGrid>
      <w:tr w14:paraId="477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8A8B65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C7E8F8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C4363F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内容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3F9A53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数量</w:t>
            </w:r>
          </w:p>
        </w:tc>
        <w:tc>
          <w:tcPr>
            <w:tcW w:w="2650" w:type="pct"/>
            <w:vAlign w:val="center"/>
          </w:tcPr>
          <w:p w14:paraId="4DFF8DA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 w14:paraId="0308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7C00CD0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14:paraId="782F4771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“活力广州 精彩一夏”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粤港澳大湾区（广州）青少年交流周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1A3306C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eastAsia="zh-CN"/>
              </w:rPr>
              <w:t>综合保障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D73ECC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650" w:type="pct"/>
            <w:vAlign w:val="center"/>
          </w:tcPr>
          <w:p w14:paraId="06023F8A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负责活动人员餐饮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，交通、劳务费用以及部分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租赁，物资采购等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服务</w:t>
            </w:r>
          </w:p>
        </w:tc>
      </w:tr>
      <w:tr w14:paraId="55CF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1B6C904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4" w:type="pct"/>
            <w:vMerge w:val="continue"/>
            <w:shd w:val="clear" w:color="auto" w:fill="auto"/>
            <w:vAlign w:val="center"/>
          </w:tcPr>
          <w:p w14:paraId="45A03FC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2593EC5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物料设计及制作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9CEA92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650" w:type="pct"/>
            <w:vAlign w:val="center"/>
          </w:tcPr>
          <w:p w14:paraId="16976514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物料设计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、搬运安装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等服务</w:t>
            </w:r>
          </w:p>
        </w:tc>
      </w:tr>
      <w:tr w14:paraId="36FD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vMerge w:val="continue"/>
            <w:shd w:val="clear" w:color="auto" w:fill="auto"/>
            <w:vAlign w:val="center"/>
          </w:tcPr>
          <w:p w14:paraId="7B1D494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shd w:val="clear" w:color="auto" w:fill="auto"/>
            <w:vAlign w:val="center"/>
          </w:tcPr>
          <w:p w14:paraId="5046317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E74319D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节目组织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D34846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650" w:type="pct"/>
            <w:vAlign w:val="center"/>
          </w:tcPr>
          <w:p w14:paraId="4B78598E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节目编排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(含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《少年强则国强》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《刺蚌》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AI情景剧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表演团队的服装道具购置、化妆造型、演出费用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等服务</w:t>
            </w:r>
          </w:p>
        </w:tc>
      </w:tr>
      <w:tr w14:paraId="6FDB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7F6DB0E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4" w:type="pct"/>
            <w:vMerge w:val="continue"/>
            <w:shd w:val="clear" w:color="auto" w:fill="auto"/>
            <w:vAlign w:val="center"/>
          </w:tcPr>
          <w:p w14:paraId="4374F1E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FB7013C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宣传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91ECF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650" w:type="pct"/>
            <w:vAlign w:val="center"/>
          </w:tcPr>
          <w:p w14:paraId="0641B03A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负责活动摄影、摄像及媒体宣传等服务</w:t>
            </w:r>
          </w:p>
        </w:tc>
      </w:tr>
      <w:tr w14:paraId="51A0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vMerge w:val="continue"/>
            <w:shd w:val="clear" w:color="auto" w:fill="auto"/>
            <w:vAlign w:val="center"/>
          </w:tcPr>
          <w:p w14:paraId="6E8542A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4" w:type="pct"/>
            <w:vMerge w:val="continue"/>
            <w:shd w:val="clear" w:color="auto" w:fill="auto"/>
            <w:vAlign w:val="center"/>
          </w:tcPr>
          <w:p w14:paraId="060416C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C068FCA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医疗、安保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320058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650" w:type="pct"/>
            <w:vAlign w:val="center"/>
          </w:tcPr>
          <w:p w14:paraId="690F3452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含医护人员、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活动保险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等服务</w:t>
            </w:r>
          </w:p>
        </w:tc>
      </w:tr>
      <w:tr w14:paraId="6BD0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23FC2EA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4" w:type="pct"/>
            <w:vMerge w:val="continue"/>
            <w:shd w:val="clear" w:color="auto" w:fill="auto"/>
            <w:vAlign w:val="center"/>
          </w:tcPr>
          <w:p w14:paraId="07B04D9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790C2B0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活动策划执行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FFA5F5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１项</w:t>
            </w:r>
          </w:p>
        </w:tc>
        <w:tc>
          <w:tcPr>
            <w:tcW w:w="2650" w:type="pct"/>
            <w:vAlign w:val="center"/>
          </w:tcPr>
          <w:p w14:paraId="7C079657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项目创意策划、舞美设计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执行团队劳务费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相关执行服务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费用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</w:t>
            </w:r>
          </w:p>
        </w:tc>
      </w:tr>
    </w:tbl>
    <w:p w14:paraId="6391F67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9AE1175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24"/>
          <w:lang w:eastAsia="zh-CN"/>
        </w:rPr>
        <w:t>项目报价要求</w:t>
      </w:r>
    </w:p>
    <w:p w14:paraId="3628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报价表内容与采购清单严格一致：</w:t>
      </w:r>
    </w:p>
    <w:p w14:paraId="2717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投标人必须严格按照招标文件（特别是“采购清单”或“货物/服务需求一览表”部分）中列明的所有项目、货物名称、规格型号、技术参数、数量、单位、服务内容、范围及要求进行报价。</w:t>
      </w:r>
    </w:p>
    <w:p w14:paraId="6F64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禁止任何形式的缺失、删减、合并、拆分或替代。投标人报价表的结构、条目顺序及描述应与招标采购清单完全对应。</w:t>
      </w:r>
    </w:p>
    <w:p w14:paraId="0104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（二）完整覆盖要求：</w:t>
      </w:r>
    </w:p>
    <w:p w14:paraId="6561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报价表必须包含采购清单中的每一项内容。不得遗漏任何一项货物、服务或要求。对于包含可选配置、附件或备品备件的项目，投标人必须清晰列明其报价是否包含，或单独列出可选部分的报价。</w:t>
      </w:r>
    </w:p>
    <w:p w14:paraId="3F1B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（三）清晰准确的报价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:</w:t>
      </w:r>
    </w:p>
    <w:p w14:paraId="00D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每项报价应清晰标明单价、数量、单项小计金额及相应的货币单位（如人民币CNY）。</w:t>
      </w:r>
    </w:p>
    <w:p w14:paraId="695A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应包含完成该项目所必需的一切费用，包括但不限于：货物成本、税费、运费、保险费、装卸费、安装调试费（如适用）、培训费、售后服务费、专利技术使用费、以及投标人为完成合同义务所发生的所有其他成本和利润等。除非招标文件另有明确规定（如明确某些费用由招标人另行支付）。总价应为所有分项报价金额之和，并与分项价格存在清晰的逻辑关系。</w:t>
      </w:r>
    </w:p>
    <w:p w14:paraId="2F87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（四）格式要求：</w:t>
      </w:r>
    </w:p>
    <w:p w14:paraId="5316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投标人应使用招标文件提供的标准报价表格格式进行报价。如无标准格式，投标人自行设计的报价表也必须清晰包含上述所有信息，并确保与采购清单条目一一对应、易于核对。</w:t>
      </w:r>
    </w:p>
    <w:p w14:paraId="5247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报价表应清晰、完整、无涂改。如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有修改，需由法定代表人或其授权代表签字盖章确认。</w:t>
      </w:r>
    </w:p>
    <w:p w14:paraId="6BB2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（五）偏差处理：</w:t>
      </w:r>
    </w:p>
    <w:p w14:paraId="7FCE5BE2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任何未按采购清单要求进行完整报价、擅自删减项目、合并报价、改变规格型号或服务内容的投标文件，将被视为未实质性响应招标文件要求，广州市青少年发展基金会将按照采购制度有权采取废标处理。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0202373D"/>
    <w:rsid w:val="154A216E"/>
    <w:rsid w:val="196A0C1C"/>
    <w:rsid w:val="1F926AC5"/>
    <w:rsid w:val="33C84F3D"/>
    <w:rsid w:val="36215A2E"/>
    <w:rsid w:val="448B2625"/>
    <w:rsid w:val="44B927CC"/>
    <w:rsid w:val="6AED512B"/>
    <w:rsid w:val="6EB573FD"/>
    <w:rsid w:val="7CD90613"/>
    <w:rsid w:val="7D80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customStyle="1" w:styleId="5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994</Characters>
  <Lines>0</Lines>
  <Paragraphs>0</Paragraphs>
  <TotalTime>2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biubiubiubomg</cp:lastModifiedBy>
  <dcterms:modified xsi:type="dcterms:W3CDTF">2025-09-08T09:48:48Z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1A4FA7D989AA4B6A8C1974ABF2F0D210_13</vt:lpwstr>
  </property>
  <property fmtid="{D5CDD505-2E9C-101B-9397-08002B2CF9AE}" pid="4" name="KSOTemplateDocerSaveRecord">
    <vt:lpwstr>eyJoZGlkIjoiYmJhOTJiZjNhMDVkZTg1NDk1NWM4NWY2NDUzNmNhNDMiLCJ1c2VySWQiOiI2ODIyMjk1MDgifQ==</vt:lpwstr>
  </property>
</Properties>
</file>