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7060C">
      <w:pPr>
        <w:pStyle w:val="7"/>
        <w:ind w:firstLine="0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7FC3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“12355线下服务阵地开展少先队员</w:t>
      </w:r>
    </w:p>
    <w:p w14:paraId="65F1A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highlight w:val="none"/>
          <w:u w:val="none"/>
          <w:lang w:val="en-US" w:eastAsia="zh-CN"/>
        </w:rPr>
        <w:t>帮扶服务项目”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采购内容清单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3637"/>
        <w:gridCol w:w="1720"/>
        <w:gridCol w:w="3391"/>
      </w:tblGrid>
      <w:tr w14:paraId="4DB9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04" w:type="pct"/>
            <w:noWrap w:val="0"/>
            <w:vAlign w:val="center"/>
          </w:tcPr>
          <w:p w14:paraId="05FD6652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1702" w:type="pct"/>
            <w:noWrap w:val="0"/>
            <w:vAlign w:val="center"/>
          </w:tcPr>
          <w:p w14:paraId="474DD0B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  <w:t>服务形式</w:t>
            </w:r>
          </w:p>
        </w:tc>
        <w:tc>
          <w:tcPr>
            <w:tcW w:w="805" w:type="pct"/>
            <w:noWrap w:val="0"/>
            <w:vAlign w:val="center"/>
          </w:tcPr>
          <w:p w14:paraId="22F7D20E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b/>
                <w:kern w:val="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87" w:type="pct"/>
            <w:noWrap w:val="0"/>
            <w:vAlign w:val="center"/>
          </w:tcPr>
          <w:p w14:paraId="5D7A9664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47B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904" w:type="pct"/>
            <w:vMerge w:val="restart"/>
            <w:noWrap w:val="0"/>
            <w:vAlign w:val="center"/>
          </w:tcPr>
          <w:p w14:paraId="7D064FE9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心理健康</w:t>
            </w:r>
          </w:p>
          <w:p w14:paraId="274DFA6B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咨询服务</w:t>
            </w:r>
          </w:p>
        </w:tc>
        <w:tc>
          <w:tcPr>
            <w:tcW w:w="1702" w:type="pct"/>
            <w:noWrap w:val="0"/>
            <w:vAlign w:val="center"/>
          </w:tcPr>
          <w:p w14:paraId="2C958F24">
            <w:pPr>
              <w:pStyle w:val="8"/>
              <w:numPr>
                <w:ilvl w:val="0"/>
                <w:numId w:val="0"/>
              </w:numPr>
              <w:spacing w:line="560" w:lineRule="exact"/>
              <w:ind w:leftChars="0" w:firstLine="0"/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每个个案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一对一心理咨询总次数不超过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/人</w:t>
            </w:r>
          </w:p>
        </w:tc>
        <w:tc>
          <w:tcPr>
            <w:tcW w:w="805" w:type="pct"/>
            <w:vMerge w:val="restart"/>
            <w:noWrap w:val="0"/>
            <w:vAlign w:val="center"/>
          </w:tcPr>
          <w:p w14:paraId="3F7143F5">
            <w:pPr>
              <w:pStyle w:val="8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220次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 w14:paraId="08163A41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心理健康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咨询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服务的咨询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次数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和服务形式根据个案需求和实际工作情况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>调整，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按实际服务次数计算。</w:t>
            </w:r>
          </w:p>
          <w:p w14:paraId="224E3FC9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咨询师及讲师资质包括：国家二级、国家三级；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心理治疗师、心理相关专业硕士及以上背景、其他心理相关资格证书（如中国科学院心理咨询师培训合格证书、中国心理协会心理咨询师专业技能培训合格证书、广州市心理咨询师协会心理咨询师执业资格证书等）。</w:t>
            </w:r>
          </w:p>
        </w:tc>
      </w:tr>
      <w:tr w14:paraId="0133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04" w:type="pct"/>
            <w:vMerge w:val="continue"/>
            <w:noWrap w:val="0"/>
            <w:vAlign w:val="center"/>
          </w:tcPr>
          <w:p w14:paraId="679B76AC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2" w:type="pct"/>
            <w:noWrap w:val="0"/>
            <w:vAlign w:val="center"/>
          </w:tcPr>
          <w:p w14:paraId="5742167D">
            <w:pPr>
              <w:pStyle w:val="8"/>
              <w:numPr>
                <w:ilvl w:val="0"/>
                <w:numId w:val="0"/>
              </w:numPr>
              <w:spacing w:line="560" w:lineRule="exact"/>
              <w:ind w:leftChars="0" w:firstLine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每个个案进行家庭辅导不超过1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次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/家庭</w:t>
            </w:r>
          </w:p>
        </w:tc>
        <w:tc>
          <w:tcPr>
            <w:tcW w:w="805" w:type="pct"/>
            <w:vMerge w:val="continue"/>
            <w:noWrap w:val="0"/>
            <w:vAlign w:val="center"/>
          </w:tcPr>
          <w:p w14:paraId="377C25A4">
            <w:pPr>
              <w:pStyle w:val="8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1587" w:type="pct"/>
            <w:vMerge w:val="continue"/>
            <w:noWrap w:val="0"/>
            <w:vAlign w:val="center"/>
          </w:tcPr>
          <w:p w14:paraId="357BD68B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</w:rPr>
            </w:pPr>
          </w:p>
        </w:tc>
      </w:tr>
      <w:tr w14:paraId="7FDA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904" w:type="pct"/>
            <w:noWrap w:val="0"/>
            <w:vAlign w:val="center"/>
          </w:tcPr>
          <w:p w14:paraId="0915DF6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心理公益讲座</w:t>
            </w:r>
          </w:p>
        </w:tc>
        <w:tc>
          <w:tcPr>
            <w:tcW w:w="1702" w:type="pct"/>
            <w:noWrap w:val="0"/>
            <w:vAlign w:val="center"/>
          </w:tcPr>
          <w:p w14:paraId="44AAABC6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邀请相关资质讲师</w:t>
            </w:r>
          </w:p>
        </w:tc>
        <w:tc>
          <w:tcPr>
            <w:tcW w:w="805" w:type="pct"/>
            <w:noWrap w:val="0"/>
            <w:vAlign w:val="center"/>
          </w:tcPr>
          <w:p w14:paraId="0E7F1F53">
            <w:pPr>
              <w:pStyle w:val="8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44场</w:t>
            </w:r>
            <w:bookmarkStart w:id="0" w:name="_GoBack"/>
            <w:bookmarkEnd w:id="0"/>
          </w:p>
        </w:tc>
        <w:tc>
          <w:tcPr>
            <w:tcW w:w="1587" w:type="pct"/>
            <w:vMerge w:val="continue"/>
            <w:noWrap w:val="0"/>
            <w:vAlign w:val="center"/>
          </w:tcPr>
          <w:p w14:paraId="7A5B91F7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717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04" w:type="pct"/>
            <w:noWrap w:val="0"/>
            <w:vAlign w:val="center"/>
          </w:tcPr>
          <w:p w14:paraId="30A50F2F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宣传费用</w:t>
            </w:r>
          </w:p>
        </w:tc>
        <w:tc>
          <w:tcPr>
            <w:tcW w:w="1702" w:type="pct"/>
            <w:noWrap w:val="0"/>
            <w:vAlign w:val="center"/>
          </w:tcPr>
          <w:p w14:paraId="7A44FA23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物料设计及制作、运输</w:t>
            </w:r>
          </w:p>
        </w:tc>
        <w:tc>
          <w:tcPr>
            <w:tcW w:w="805" w:type="pct"/>
            <w:shd w:val="clear" w:color="auto" w:fill="auto"/>
            <w:noWrap w:val="0"/>
            <w:vAlign w:val="center"/>
          </w:tcPr>
          <w:p w14:paraId="6AC52EDE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1项</w:t>
            </w:r>
          </w:p>
        </w:tc>
        <w:tc>
          <w:tcPr>
            <w:tcW w:w="1587" w:type="pct"/>
            <w:shd w:val="clear" w:color="auto" w:fill="auto"/>
            <w:noWrap w:val="0"/>
            <w:vAlign w:val="center"/>
          </w:tcPr>
          <w:p w14:paraId="0EF40F0E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含手持kt板，讲座布置易拉宝、讲座互动小礼品等、物料运输</w:t>
            </w:r>
          </w:p>
        </w:tc>
      </w:tr>
      <w:tr w14:paraId="3428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04" w:type="pct"/>
            <w:noWrap w:val="0"/>
            <w:vAlign w:val="center"/>
          </w:tcPr>
          <w:p w14:paraId="21A2161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执行费用</w:t>
            </w:r>
          </w:p>
        </w:tc>
        <w:tc>
          <w:tcPr>
            <w:tcW w:w="3637" w:type="dxa"/>
            <w:noWrap w:val="0"/>
            <w:vAlign w:val="center"/>
          </w:tcPr>
          <w:p w14:paraId="53F960A2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个案咨询服务及心理讲座活动整体统筹、跟进、摄像及视频拍摄等工作</w:t>
            </w:r>
          </w:p>
        </w:tc>
        <w:tc>
          <w:tcPr>
            <w:tcW w:w="805" w:type="pct"/>
            <w:noWrap w:val="0"/>
            <w:vAlign w:val="center"/>
          </w:tcPr>
          <w:p w14:paraId="252CD948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1项</w:t>
            </w:r>
          </w:p>
        </w:tc>
        <w:tc>
          <w:tcPr>
            <w:tcW w:w="1587" w:type="pct"/>
            <w:noWrap w:val="0"/>
            <w:vAlign w:val="center"/>
          </w:tcPr>
          <w:p w14:paraId="70D3433D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1条视频制作</w:t>
            </w:r>
            <w:r>
              <w:rPr>
                <w:rFonts w:hint="eastAsia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；项目开展过程中所有相关档案管理与资料归档工作；咨询师、讲师招募与管理；与咨询个案对接人、咨询师沟通跟进；与讲座对接人、讲师沟通跟进；财务与报销管理，执行费用预算控制与支出记录；项目后期整理，活动照片、视频等素材，撰写活动总结报告。</w:t>
            </w:r>
          </w:p>
        </w:tc>
      </w:tr>
      <w:tr w14:paraId="5188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04" w:type="pct"/>
            <w:vMerge w:val="restart"/>
            <w:noWrap w:val="0"/>
            <w:vAlign w:val="center"/>
          </w:tcPr>
          <w:p w14:paraId="50DE60B2">
            <w:pPr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iCs w:val="0"/>
                <w:kern w:val="2"/>
                <w:sz w:val="28"/>
                <w:szCs w:val="28"/>
                <w:u w:val="none"/>
                <w:lang w:val="en-US" w:eastAsia="zh-CN"/>
              </w:rPr>
              <w:t>交通费用</w:t>
            </w:r>
          </w:p>
        </w:tc>
        <w:tc>
          <w:tcPr>
            <w:tcW w:w="3637" w:type="dxa"/>
            <w:noWrap w:val="0"/>
            <w:vAlign w:val="center"/>
          </w:tcPr>
          <w:p w14:paraId="2A3F3E07">
            <w:pPr>
              <w:pStyle w:val="8"/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个案咨询老师交通补贴</w:t>
            </w:r>
          </w:p>
        </w:tc>
        <w:tc>
          <w:tcPr>
            <w:tcW w:w="805" w:type="pct"/>
            <w:noWrap w:val="0"/>
            <w:vAlign w:val="center"/>
          </w:tcPr>
          <w:p w14:paraId="3D83C754">
            <w:pPr>
              <w:pStyle w:val="8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220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次</w:t>
            </w:r>
          </w:p>
        </w:tc>
        <w:tc>
          <w:tcPr>
            <w:tcW w:w="1587" w:type="pct"/>
            <w:vMerge w:val="restart"/>
            <w:noWrap w:val="0"/>
            <w:vAlign w:val="center"/>
          </w:tcPr>
          <w:p w14:paraId="4E32B22C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按老师出勤次数提供签收明细</w:t>
            </w:r>
          </w:p>
        </w:tc>
      </w:tr>
      <w:tr w14:paraId="2394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04" w:type="pct"/>
            <w:vMerge w:val="continue"/>
            <w:noWrap w:val="0"/>
            <w:vAlign w:val="center"/>
          </w:tcPr>
          <w:p w14:paraId="6A9CC57C">
            <w:pPr>
              <w:spacing w:line="56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3637" w:type="dxa"/>
            <w:noWrap w:val="0"/>
            <w:vAlign w:val="center"/>
          </w:tcPr>
          <w:p w14:paraId="3C588386">
            <w:pPr>
              <w:pStyle w:val="8"/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</w:rPr>
              <w:t>讲座</w:t>
            </w:r>
            <w:r>
              <w:rPr>
                <w:rFonts w:hint="default" w:ascii="Times New Roman" w:hAnsi="Times New Roman" w:eastAsia="仿宋_GB2312" w:cs="Times New Roman"/>
                <w:bCs/>
                <w:i w:val="0"/>
                <w:iCs w:val="0"/>
                <w:sz w:val="28"/>
                <w:szCs w:val="28"/>
                <w:u w:val="none"/>
                <w:lang w:val="en-US" w:eastAsia="zh-CN"/>
              </w:rPr>
              <w:t>讲师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交通补贴</w:t>
            </w:r>
          </w:p>
        </w:tc>
        <w:tc>
          <w:tcPr>
            <w:tcW w:w="805" w:type="pct"/>
            <w:noWrap w:val="0"/>
            <w:vAlign w:val="center"/>
          </w:tcPr>
          <w:p w14:paraId="1571E9C6">
            <w:pPr>
              <w:pStyle w:val="8"/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44场</w:t>
            </w:r>
          </w:p>
        </w:tc>
        <w:tc>
          <w:tcPr>
            <w:tcW w:w="1587" w:type="pct"/>
            <w:vMerge w:val="continue"/>
            <w:noWrap w:val="0"/>
            <w:vAlign w:val="center"/>
          </w:tcPr>
          <w:p w14:paraId="60D10582">
            <w:pPr>
              <w:pStyle w:val="8"/>
              <w:numPr>
                <w:ilvl w:val="0"/>
                <w:numId w:val="0"/>
              </w:numPr>
              <w:spacing w:line="560" w:lineRule="exact"/>
              <w:ind w:lef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6391F67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59AE1175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24"/>
          <w:lang w:eastAsia="zh-CN"/>
        </w:rPr>
        <w:t>项目报价要求</w:t>
      </w:r>
    </w:p>
    <w:p w14:paraId="36283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（一）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报价表内容与采购清单严格一致：</w:t>
      </w:r>
    </w:p>
    <w:p w14:paraId="27171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投标人必须严格按照招标文件（特别是“采购清单”或“货物/服务需求一览表”部分）中列明的所有项目、货物名称、规格型号、技术参数、数量、单位、服务内容、范围及要求进行报价。</w:t>
      </w:r>
    </w:p>
    <w:p w14:paraId="6F64C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禁止任何形式的缺失、删减、合并、拆分或替代。投标人报价表的结构、条目顺序及描述应与招标采购清单完全对应。</w:t>
      </w:r>
    </w:p>
    <w:p w14:paraId="0104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（二）完整覆盖要求：</w:t>
      </w:r>
    </w:p>
    <w:p w14:paraId="6561A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报价表必须包含采购清单中的每一项内容。不得遗漏任何一项货物、服务或要求。对于包含可选配置、附件或备品备件的项目，投标人必须清晰列明其报价是否包含，或单独列出可选部分的报价。</w:t>
      </w:r>
    </w:p>
    <w:p w14:paraId="3F1B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（三）清晰准确的报价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:</w:t>
      </w:r>
    </w:p>
    <w:p w14:paraId="00D6C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每项报价应清晰标明单价、数量、单项小计金额及相应的货币单位（如人民币CNY）。</w:t>
      </w:r>
    </w:p>
    <w:p w14:paraId="695A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应包含完成该项目所必需的一切费用，包括但不限于：货物成本、税费、运费、保险费、装卸费、安装调试费（如适用）、培训费、售后服务费、专利技术使用费、以及投标人为完成合同义务所发生的所有其他成本和利润等。除非招标文件另有明确规定（如明确某些费用由招标人另行支付）。总价应为所有分项报价金额之和，并与分项价格存在清晰的逻辑关系。</w:t>
      </w:r>
    </w:p>
    <w:p w14:paraId="2F87B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（四）格式要求：</w:t>
      </w:r>
    </w:p>
    <w:p w14:paraId="5316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投标人应使用招标文件提供的标准报价表格格式进行报价。如无标准格式，投标人自行设计的报价表也必须清晰包含上述所有信息，并确保与采购清单条目一一对应、易于核对。</w:t>
      </w:r>
    </w:p>
    <w:p w14:paraId="5247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val="en-US" w:eastAsia="zh-CN"/>
        </w:rPr>
        <w:t>　　</w:t>
      </w:r>
      <w:r>
        <w:rPr>
          <w:rFonts w:hint="default" w:ascii="Times New Roman" w:hAnsi="Times New Roman" w:eastAsia="宋体" w:cs="Times New Roman"/>
          <w:sz w:val="28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4"/>
        </w:rPr>
        <w:t>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报价表应清晰、完整、无涂改。如有修改，需由法定代表人或其授权代表签字盖章确认。</w:t>
      </w:r>
    </w:p>
    <w:p w14:paraId="6BB2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（五）偏差处理：</w:t>
      </w:r>
    </w:p>
    <w:p w14:paraId="7FCE5BE2"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　　</w:t>
      </w:r>
      <w:r>
        <w:rPr>
          <w:rFonts w:hint="default" w:ascii="Times New Roman" w:hAnsi="Times New Roman" w:cs="Times New Roman"/>
          <w:sz w:val="28"/>
          <w:szCs w:val="24"/>
        </w:rPr>
        <w:t>1.</w:t>
      </w:r>
      <w:r>
        <w:rPr>
          <w:rFonts w:hint="default" w:ascii="Times New Roman" w:hAnsi="Times New Roman" w:eastAsia="宋体" w:cs="Times New Roman"/>
          <w:color w:val="000000"/>
          <w:sz w:val="28"/>
          <w:szCs w:val="28"/>
          <w:lang w:eastAsia="zh-CN"/>
        </w:rPr>
        <w:t>任何未按采购清单要求进行完整报价、擅自删减项目、合并报价、改变规格型号或服务内容的投标文件，将被视为未实质性响应招标文件要求，广州市青少年发展基金会将按照采购制度有权采取废标处理。</w:t>
      </w:r>
    </w:p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26AC5"/>
    <w:rsid w:val="0202373D"/>
    <w:rsid w:val="154A216E"/>
    <w:rsid w:val="196A0C1C"/>
    <w:rsid w:val="1F926AC5"/>
    <w:rsid w:val="33C84F3D"/>
    <w:rsid w:val="36215A2E"/>
    <w:rsid w:val="3800688B"/>
    <w:rsid w:val="448B2625"/>
    <w:rsid w:val="44B927CC"/>
    <w:rsid w:val="4F5E226B"/>
    <w:rsid w:val="5F4C1567"/>
    <w:rsid w:val="5FC209D6"/>
    <w:rsid w:val="6AED512B"/>
    <w:rsid w:val="6EB573FD"/>
    <w:rsid w:val="789765C8"/>
    <w:rsid w:val="7CD90613"/>
    <w:rsid w:val="7D80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600" w:lineRule="exact"/>
      <w:outlineLvl w:val="2"/>
    </w:pPr>
    <w:rPr>
      <w:rFonts w:ascii="Calibri" w:hAnsi="Calibri" w:eastAsia="方正楷体_GBK"/>
      <w:b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Indent"/>
    <w:basedOn w:val="1"/>
    <w:qFormat/>
    <w:uiPriority w:val="0"/>
    <w:pPr>
      <w:ind w:firstLine="420"/>
    </w:pPr>
    <w:rPr>
      <w:szCs w:val="32"/>
    </w:rPr>
  </w:style>
  <w:style w:type="paragraph" w:styleId="8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1208</Words>
  <Characters>1229</Characters>
  <Lines>0</Lines>
  <Paragraphs>0</Paragraphs>
  <TotalTime>3</TotalTime>
  <ScaleCrop>false</ScaleCrop>
  <LinksUpToDate>false</LinksUpToDate>
  <CharactersWithSpaces>1255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2025-07-10T07:04:00Z</dcterms:created>
  <dc:creator>biubiubiubomg</dc:creator>
  <cp:lastModifiedBy>Kama</cp:lastModifiedBy>
  <cp:lastPrinted>2025-11-10T03:23:00Z</cp:lastPrinted>
  <dcterms:modified xsi:type="dcterms:W3CDTF">2026-01-28T08:25:23Z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369C4684BB724AE6BE01EB297D7700B6_13</vt:lpwstr>
  </property>
  <property fmtid="{D5CDD505-2E9C-101B-9397-08002B2CF9AE}" pid="4" name="KSOTemplateDocerSaveRecord">
    <vt:lpwstr>eyJoZGlkIjoiMWU0Mjc5Y2VlNDUwYTQwMDc2NTI1OWNhYjcxYWIyMmEiLCJ1c2VySWQiOiI0MzE5MTAxNDEifQ==</vt:lpwstr>
  </property>
</Properties>
</file>